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07" w:rsidRDefault="00351807" w:rsidP="00351807">
      <w:pPr>
        <w:ind w:firstLine="720"/>
        <w:jc w:val="both"/>
        <w:rPr>
          <w:rFonts w:ascii="Arial" w:hAnsi="Arial" w:cs="Arial"/>
        </w:rPr>
      </w:pPr>
      <w:r>
        <w:rPr>
          <w:rFonts w:ascii="Arial" w:hAnsi="Arial" w:cs="Arial"/>
        </w:rPr>
        <w:t>На основу члана 22. став 1 Закона о јавним набавкама (Сл.гласник РС 124/12 И 14/15) И члана 87.став 2 Закона о изменама и допунама Закона о јавнима набавкама (Сл.гласник РС 68/2015) члана 57. (Закона о оснвама система образовања и васпитања (Сл.гласник РС 72/2009,52/11,55/13,35/15-аут.тумачење и 68/15)  Школски одбор  Основне школе „Вук Караџић“ у Мајиловцу на седни</w:t>
      </w:r>
      <w:r w:rsidR="002C1E82">
        <w:rPr>
          <w:rFonts w:ascii="Arial" w:hAnsi="Arial" w:cs="Arial"/>
        </w:rPr>
        <w:t>ци одржаној дана</w:t>
      </w:r>
      <w:r w:rsidR="002C1E82">
        <w:rPr>
          <w:rFonts w:ascii="Arial" w:hAnsi="Arial" w:cs="Arial"/>
          <w:lang/>
        </w:rPr>
        <w:t xml:space="preserve"> 02.12.2015.године </w:t>
      </w:r>
      <w:r>
        <w:rPr>
          <w:rFonts w:ascii="Arial" w:hAnsi="Arial" w:cs="Arial"/>
        </w:rPr>
        <w:t xml:space="preserve">доноси: </w:t>
      </w:r>
    </w:p>
    <w:p w:rsidR="00351807" w:rsidRDefault="00351807" w:rsidP="00351807">
      <w:pPr>
        <w:jc w:val="center"/>
        <w:rPr>
          <w:rFonts w:ascii="Arial" w:hAnsi="Arial" w:cs="Arial"/>
          <w:b/>
        </w:rPr>
      </w:pPr>
    </w:p>
    <w:p w:rsidR="00351807" w:rsidRDefault="00351807" w:rsidP="00351807">
      <w:pPr>
        <w:jc w:val="center"/>
        <w:rPr>
          <w:rFonts w:ascii="Arial" w:hAnsi="Arial" w:cs="Arial"/>
          <w:b/>
          <w:sz w:val="28"/>
          <w:szCs w:val="28"/>
        </w:rPr>
      </w:pPr>
      <w:r>
        <w:rPr>
          <w:rFonts w:ascii="Arial" w:hAnsi="Arial" w:cs="Arial"/>
          <w:b/>
          <w:sz w:val="28"/>
          <w:szCs w:val="28"/>
        </w:rPr>
        <w:t>ИЗМЕНЕ И ДОПУНЕ ПРАВИЛНИКА О БЛИЖЕМ УРЕЂИВАЊУ ПОСТУПКА  ЈАВНЕ НАБАВКЕ У ОСНОВНОЈ ШКОЛИ „ВУК КАРАЏИЋ“ У МАЈИЛОВЦУ БРОЈ  57/14-05  ОД 24.02.2014. ГОДИНЕ</w:t>
      </w:r>
    </w:p>
    <w:p w:rsidR="00351807" w:rsidRDefault="00351807" w:rsidP="00351807">
      <w:pPr>
        <w:jc w:val="center"/>
        <w:rPr>
          <w:rFonts w:ascii="Arial" w:hAnsi="Arial" w:cs="Arial"/>
          <w:b/>
        </w:rPr>
      </w:pPr>
    </w:p>
    <w:p w:rsidR="00351807" w:rsidRDefault="00351807" w:rsidP="00351807">
      <w:pPr>
        <w:jc w:val="center"/>
        <w:rPr>
          <w:rFonts w:ascii="Arial" w:hAnsi="Arial" w:cs="Arial"/>
          <w:b/>
        </w:rPr>
      </w:pPr>
    </w:p>
    <w:p w:rsidR="00351807" w:rsidRDefault="00351807" w:rsidP="00351807">
      <w:pPr>
        <w:jc w:val="center"/>
        <w:rPr>
          <w:rFonts w:ascii="Arial" w:hAnsi="Arial" w:cs="Arial"/>
          <w:b/>
        </w:rPr>
      </w:pPr>
      <w:r>
        <w:rPr>
          <w:rFonts w:ascii="Arial" w:hAnsi="Arial" w:cs="Arial"/>
          <w:b/>
        </w:rPr>
        <w:t>Члан 1.</w:t>
      </w:r>
    </w:p>
    <w:p w:rsidR="00351807" w:rsidRDefault="00351807" w:rsidP="00351807">
      <w:pPr>
        <w:jc w:val="both"/>
        <w:rPr>
          <w:rFonts w:ascii="Arial" w:hAnsi="Arial" w:cs="Arial"/>
        </w:rPr>
      </w:pPr>
      <w:r>
        <w:rPr>
          <w:rFonts w:ascii="Arial" w:hAnsi="Arial" w:cs="Arial"/>
        </w:rPr>
        <w:tab/>
        <w:t>У Правилнику о ближем уређивању поступка јавне набавке број 57/14-05 од 24.02.2014.године у члану 3 став 6 мења се и гласи:</w:t>
      </w:r>
    </w:p>
    <w:p w:rsidR="00351807" w:rsidRDefault="00351807" w:rsidP="00351807">
      <w:pPr>
        <w:jc w:val="both"/>
        <w:rPr>
          <w:rFonts w:ascii="Arial" w:hAnsi="Arial" w:cs="Arial"/>
        </w:rPr>
      </w:pPr>
      <w:r>
        <w:rPr>
          <w:rFonts w:ascii="Arial" w:hAnsi="Arial" w:cs="Arial"/>
        </w:rPr>
        <w:tab/>
        <w:t xml:space="preserve">„Уговор о јавној набавци је теретни уговор закључен у писаној или електронској форми између једног или више понуђача и једног или више наручилаца који за предмет има набавку добара,прижање услуга или извођење радова.“ </w:t>
      </w:r>
    </w:p>
    <w:p w:rsidR="00351807" w:rsidRDefault="00351807" w:rsidP="00351807">
      <w:pPr>
        <w:jc w:val="both"/>
        <w:rPr>
          <w:rFonts w:ascii="Arial" w:hAnsi="Arial" w:cs="Arial"/>
        </w:rPr>
      </w:pPr>
    </w:p>
    <w:p w:rsidR="00351807" w:rsidRDefault="00351807" w:rsidP="00351807">
      <w:pPr>
        <w:jc w:val="center"/>
        <w:rPr>
          <w:rFonts w:ascii="Arial" w:hAnsi="Arial" w:cs="Arial"/>
          <w:b/>
        </w:rPr>
      </w:pPr>
      <w:r>
        <w:rPr>
          <w:rFonts w:ascii="Arial" w:hAnsi="Arial" w:cs="Arial"/>
          <w:b/>
        </w:rPr>
        <w:t>Члан 2.</w:t>
      </w:r>
    </w:p>
    <w:p w:rsidR="00351807" w:rsidRDefault="00351807" w:rsidP="00351807">
      <w:pPr>
        <w:jc w:val="both"/>
        <w:rPr>
          <w:rFonts w:ascii="Arial" w:hAnsi="Arial" w:cs="Arial"/>
        </w:rPr>
      </w:pPr>
      <w:r>
        <w:rPr>
          <w:rFonts w:ascii="Arial" w:hAnsi="Arial" w:cs="Arial"/>
        </w:rPr>
        <w:t>У члану 15 после става 1 додаје се став 2 који гласи:</w:t>
      </w:r>
    </w:p>
    <w:p w:rsidR="00351807" w:rsidRDefault="00351807" w:rsidP="00351807">
      <w:pPr>
        <w:pStyle w:val="Default"/>
        <w:jc w:val="both"/>
        <w:rPr>
          <w:sz w:val="22"/>
          <w:szCs w:val="22"/>
        </w:rPr>
      </w:pPr>
      <w:r>
        <w:tab/>
      </w:r>
      <w:r>
        <w:rPr>
          <w:sz w:val="22"/>
          <w:szCs w:val="22"/>
        </w:rPr>
        <w:t>„Наручилац не може одређивати процењену вредност јавне набавке, нити може делити истоврсну јавну набавку на више набавки с намером избегавања примене овог закона или правила одређивања врсте поступка у односу на процењену вредност јавне набавке. Истоврсна</w:t>
      </w:r>
      <w:r>
        <w:rPr>
          <w:color w:val="auto"/>
          <w:sz w:val="22"/>
          <w:szCs w:val="22"/>
        </w:rPr>
        <w:t xml:space="preserve"> </w:t>
      </w:r>
      <w:r>
        <w:rPr>
          <w:sz w:val="22"/>
          <w:szCs w:val="22"/>
        </w:rPr>
        <w:t>јавна</w:t>
      </w:r>
      <w:r>
        <w:rPr>
          <w:color w:val="auto"/>
          <w:sz w:val="22"/>
          <w:szCs w:val="22"/>
        </w:rPr>
        <w:t xml:space="preserve"> </w:t>
      </w:r>
      <w:r>
        <w:rPr>
          <w:sz w:val="22"/>
          <w:szCs w:val="22"/>
        </w:rPr>
        <w:t>набавка</w:t>
      </w:r>
      <w:r>
        <w:rPr>
          <w:color w:val="auto"/>
          <w:sz w:val="22"/>
          <w:szCs w:val="22"/>
        </w:rPr>
        <w:t xml:space="preserve"> </w:t>
      </w:r>
      <w:r>
        <w:rPr>
          <w:sz w:val="22"/>
          <w:szCs w:val="22"/>
        </w:rPr>
        <w:t>је</w:t>
      </w:r>
      <w:r>
        <w:rPr>
          <w:color w:val="auto"/>
          <w:sz w:val="22"/>
          <w:szCs w:val="22"/>
        </w:rPr>
        <w:t xml:space="preserve"> </w:t>
      </w:r>
      <w:r>
        <w:rPr>
          <w:sz w:val="22"/>
          <w:szCs w:val="22"/>
        </w:rPr>
        <w:t>набавка</w:t>
      </w:r>
      <w:r>
        <w:rPr>
          <w:color w:val="auto"/>
          <w:sz w:val="22"/>
          <w:szCs w:val="22"/>
        </w:rPr>
        <w:t xml:space="preserve"> </w:t>
      </w:r>
      <w:r>
        <w:rPr>
          <w:sz w:val="22"/>
          <w:szCs w:val="22"/>
        </w:rPr>
        <w:t>која</w:t>
      </w:r>
      <w:r>
        <w:rPr>
          <w:color w:val="auto"/>
          <w:sz w:val="22"/>
          <w:szCs w:val="22"/>
        </w:rPr>
        <w:t xml:space="preserve"> </w:t>
      </w:r>
      <w:r>
        <w:rPr>
          <w:sz w:val="22"/>
          <w:szCs w:val="22"/>
        </w:rPr>
        <w:t>има</w:t>
      </w:r>
      <w:r>
        <w:rPr>
          <w:color w:val="auto"/>
          <w:sz w:val="22"/>
          <w:szCs w:val="22"/>
        </w:rPr>
        <w:t xml:space="preserve"> </w:t>
      </w:r>
      <w:r>
        <w:rPr>
          <w:sz w:val="22"/>
          <w:szCs w:val="22"/>
        </w:rPr>
        <w:t>исту</w:t>
      </w:r>
      <w:r>
        <w:rPr>
          <w:color w:val="auto"/>
          <w:sz w:val="22"/>
          <w:szCs w:val="22"/>
        </w:rPr>
        <w:t xml:space="preserve"> </w:t>
      </w:r>
      <w:r>
        <w:rPr>
          <w:sz w:val="22"/>
          <w:szCs w:val="22"/>
        </w:rPr>
        <w:t>или</w:t>
      </w:r>
      <w:r>
        <w:rPr>
          <w:color w:val="auto"/>
          <w:sz w:val="22"/>
          <w:szCs w:val="22"/>
        </w:rPr>
        <w:t xml:space="preserve"> </w:t>
      </w:r>
      <w:r>
        <w:rPr>
          <w:sz w:val="22"/>
          <w:szCs w:val="22"/>
        </w:rPr>
        <w:t>сличну</w:t>
      </w:r>
      <w:r>
        <w:rPr>
          <w:color w:val="auto"/>
          <w:sz w:val="22"/>
          <w:szCs w:val="22"/>
        </w:rPr>
        <w:t xml:space="preserve"> </w:t>
      </w:r>
      <w:r>
        <w:rPr>
          <w:sz w:val="22"/>
          <w:szCs w:val="22"/>
        </w:rPr>
        <w:t>намену</w:t>
      </w:r>
      <w:r>
        <w:rPr>
          <w:color w:val="auto"/>
          <w:sz w:val="22"/>
          <w:szCs w:val="22"/>
        </w:rPr>
        <w:t xml:space="preserve">, </w:t>
      </w:r>
      <w:r>
        <w:rPr>
          <w:sz w:val="22"/>
          <w:szCs w:val="22"/>
        </w:rPr>
        <w:t>при</w:t>
      </w:r>
      <w:r>
        <w:rPr>
          <w:color w:val="auto"/>
          <w:sz w:val="22"/>
          <w:szCs w:val="22"/>
        </w:rPr>
        <w:t xml:space="preserve"> </w:t>
      </w:r>
      <w:r>
        <w:rPr>
          <w:sz w:val="22"/>
          <w:szCs w:val="22"/>
        </w:rPr>
        <w:t>чему</w:t>
      </w:r>
      <w:r>
        <w:rPr>
          <w:color w:val="auto"/>
          <w:sz w:val="22"/>
          <w:szCs w:val="22"/>
        </w:rPr>
        <w:t xml:space="preserve"> </w:t>
      </w:r>
      <w:r>
        <w:rPr>
          <w:sz w:val="22"/>
          <w:szCs w:val="22"/>
        </w:rPr>
        <w:t>исти</w:t>
      </w:r>
      <w:r>
        <w:rPr>
          <w:color w:val="auto"/>
          <w:sz w:val="22"/>
          <w:szCs w:val="22"/>
        </w:rPr>
        <w:t xml:space="preserve"> </w:t>
      </w:r>
      <w:r>
        <w:rPr>
          <w:sz w:val="22"/>
          <w:szCs w:val="22"/>
        </w:rPr>
        <w:t>понуђачи</w:t>
      </w:r>
      <w:r>
        <w:rPr>
          <w:color w:val="auto"/>
          <w:sz w:val="22"/>
          <w:szCs w:val="22"/>
        </w:rPr>
        <w:t xml:space="preserve"> </w:t>
      </w:r>
      <w:r>
        <w:rPr>
          <w:sz w:val="22"/>
          <w:szCs w:val="22"/>
        </w:rPr>
        <w:t>у</w:t>
      </w:r>
      <w:r>
        <w:rPr>
          <w:color w:val="auto"/>
          <w:sz w:val="22"/>
          <w:szCs w:val="22"/>
        </w:rPr>
        <w:t xml:space="preserve"> </w:t>
      </w:r>
      <w:r>
        <w:rPr>
          <w:sz w:val="22"/>
          <w:szCs w:val="22"/>
        </w:rPr>
        <w:t>односу</w:t>
      </w:r>
      <w:r>
        <w:rPr>
          <w:color w:val="auto"/>
          <w:sz w:val="22"/>
          <w:szCs w:val="22"/>
        </w:rPr>
        <w:t xml:space="preserve"> </w:t>
      </w:r>
      <w:r>
        <w:rPr>
          <w:sz w:val="22"/>
          <w:szCs w:val="22"/>
        </w:rPr>
        <w:t>на</w:t>
      </w:r>
      <w:r>
        <w:rPr>
          <w:color w:val="auto"/>
          <w:sz w:val="22"/>
          <w:szCs w:val="22"/>
        </w:rPr>
        <w:t xml:space="preserve"> </w:t>
      </w:r>
      <w:r>
        <w:rPr>
          <w:sz w:val="22"/>
          <w:szCs w:val="22"/>
        </w:rPr>
        <w:t>природу</w:t>
      </w:r>
      <w:r>
        <w:rPr>
          <w:color w:val="auto"/>
          <w:sz w:val="22"/>
          <w:szCs w:val="22"/>
        </w:rPr>
        <w:t xml:space="preserve"> </w:t>
      </w:r>
      <w:r>
        <w:rPr>
          <w:sz w:val="22"/>
          <w:szCs w:val="22"/>
        </w:rPr>
        <w:t>делатности</w:t>
      </w:r>
      <w:r>
        <w:rPr>
          <w:color w:val="auto"/>
          <w:sz w:val="22"/>
          <w:szCs w:val="22"/>
        </w:rPr>
        <w:t xml:space="preserve"> </w:t>
      </w:r>
      <w:r>
        <w:rPr>
          <w:sz w:val="22"/>
          <w:szCs w:val="22"/>
        </w:rPr>
        <w:t>коју</w:t>
      </w:r>
      <w:r>
        <w:rPr>
          <w:color w:val="auto"/>
          <w:sz w:val="22"/>
          <w:szCs w:val="22"/>
        </w:rPr>
        <w:t xml:space="preserve"> </w:t>
      </w:r>
      <w:r>
        <w:rPr>
          <w:sz w:val="22"/>
          <w:szCs w:val="22"/>
        </w:rPr>
        <w:t>обављају</w:t>
      </w:r>
      <w:r>
        <w:rPr>
          <w:color w:val="auto"/>
          <w:sz w:val="22"/>
          <w:szCs w:val="22"/>
        </w:rPr>
        <w:t xml:space="preserve"> </w:t>
      </w:r>
      <w:r>
        <w:rPr>
          <w:sz w:val="22"/>
          <w:szCs w:val="22"/>
        </w:rPr>
        <w:t>могу</w:t>
      </w:r>
      <w:r>
        <w:rPr>
          <w:color w:val="auto"/>
          <w:sz w:val="22"/>
          <w:szCs w:val="22"/>
        </w:rPr>
        <w:t xml:space="preserve"> </w:t>
      </w:r>
      <w:r>
        <w:rPr>
          <w:sz w:val="22"/>
          <w:szCs w:val="22"/>
        </w:rPr>
        <w:t>да</w:t>
      </w:r>
      <w:r>
        <w:rPr>
          <w:color w:val="auto"/>
          <w:sz w:val="22"/>
          <w:szCs w:val="22"/>
        </w:rPr>
        <w:t xml:space="preserve"> </w:t>
      </w:r>
      <w:r>
        <w:rPr>
          <w:sz w:val="22"/>
          <w:szCs w:val="22"/>
        </w:rPr>
        <w:t>је</w:t>
      </w:r>
      <w:r>
        <w:rPr>
          <w:color w:val="auto"/>
          <w:sz w:val="22"/>
          <w:szCs w:val="22"/>
        </w:rPr>
        <w:t xml:space="preserve"> </w:t>
      </w:r>
      <w:r>
        <w:rPr>
          <w:sz w:val="22"/>
          <w:szCs w:val="22"/>
        </w:rPr>
        <w:t>испуне</w:t>
      </w:r>
      <w:r>
        <w:rPr>
          <w:color w:val="auto"/>
          <w:sz w:val="22"/>
          <w:szCs w:val="22"/>
        </w:rPr>
        <w:t>.”.</w:t>
      </w:r>
    </w:p>
    <w:p w:rsidR="00351807" w:rsidRDefault="00351807" w:rsidP="00351807">
      <w:pPr>
        <w:jc w:val="both"/>
        <w:rPr>
          <w:rFonts w:ascii="Arial" w:hAnsi="Arial" w:cs="Arial"/>
        </w:rPr>
      </w:pPr>
    </w:p>
    <w:p w:rsidR="00351807" w:rsidRDefault="00351807" w:rsidP="00351807">
      <w:pPr>
        <w:jc w:val="center"/>
        <w:rPr>
          <w:rFonts w:ascii="Arial" w:hAnsi="Arial" w:cs="Arial"/>
          <w:b/>
        </w:rPr>
      </w:pPr>
      <w:r>
        <w:rPr>
          <w:rFonts w:ascii="Arial" w:hAnsi="Arial" w:cs="Arial"/>
          <w:b/>
        </w:rPr>
        <w:t>Члан 3.</w:t>
      </w:r>
    </w:p>
    <w:p w:rsidR="00351807" w:rsidRDefault="00351807" w:rsidP="00351807">
      <w:pPr>
        <w:rPr>
          <w:rFonts w:ascii="Arial" w:hAnsi="Arial" w:cs="Arial"/>
        </w:rPr>
      </w:pPr>
      <w:r>
        <w:rPr>
          <w:rFonts w:ascii="Arial" w:hAnsi="Arial" w:cs="Arial"/>
        </w:rPr>
        <w:t>У члану 38 став 10 мења се и гласи:</w:t>
      </w:r>
    </w:p>
    <w:p w:rsidR="00351807" w:rsidRDefault="00351807" w:rsidP="00351807">
      <w:pPr>
        <w:ind w:firstLine="720"/>
        <w:rPr>
          <w:rFonts w:ascii="Arial" w:hAnsi="Arial" w:cs="Arial"/>
        </w:rPr>
      </w:pPr>
      <w:r>
        <w:rPr>
          <w:rFonts w:ascii="Arial" w:hAnsi="Arial" w:cs="Arial"/>
        </w:rPr>
        <w:t>„У поступцима јавних набавки чија је процењена вредност већа од троструког износа из члана 39.став 1.Закна тј 15.000.000,00 динара службеник за јавне набавке је члан комисије.“</w:t>
      </w:r>
    </w:p>
    <w:p w:rsidR="00351807" w:rsidRDefault="00351807" w:rsidP="00351807">
      <w:pPr>
        <w:ind w:firstLine="720"/>
        <w:rPr>
          <w:rFonts w:ascii="Arial" w:hAnsi="Arial" w:cs="Arial"/>
          <w:b/>
        </w:rPr>
      </w:pPr>
      <w:r>
        <w:rPr>
          <w:rFonts w:ascii="Arial" w:hAnsi="Arial" w:cs="Arial"/>
        </w:rPr>
        <w:t xml:space="preserve">                                                             </w:t>
      </w:r>
      <w:r>
        <w:rPr>
          <w:rFonts w:ascii="Arial" w:hAnsi="Arial" w:cs="Arial"/>
          <w:b/>
        </w:rPr>
        <w:t>Члан 4.</w:t>
      </w:r>
    </w:p>
    <w:p w:rsidR="00351807" w:rsidRDefault="00351807" w:rsidP="00351807">
      <w:pPr>
        <w:rPr>
          <w:rFonts w:ascii="Arial" w:hAnsi="Arial" w:cs="Arial"/>
        </w:rPr>
      </w:pPr>
      <w:r>
        <w:rPr>
          <w:rFonts w:ascii="Arial" w:hAnsi="Arial" w:cs="Arial"/>
        </w:rPr>
        <w:t>У члану 44. Став 3 мења се и гласи:</w:t>
      </w:r>
    </w:p>
    <w:p w:rsidR="00351807" w:rsidRDefault="00351807" w:rsidP="00351807">
      <w:pPr>
        <w:ind w:firstLine="720"/>
        <w:rPr>
          <w:rFonts w:ascii="Arial" w:hAnsi="Arial" w:cs="Arial"/>
        </w:rPr>
      </w:pPr>
      <w:r>
        <w:rPr>
          <w:rFonts w:ascii="Arial" w:hAnsi="Arial" w:cs="Arial"/>
        </w:rPr>
        <w:t>Извештај из става 1 овог члана мора да садржи нарочито следеће податке:</w:t>
      </w:r>
    </w:p>
    <w:p w:rsidR="00351807" w:rsidRDefault="00351807" w:rsidP="00351807">
      <w:pPr>
        <w:pStyle w:val="Default"/>
        <w:rPr>
          <w:sz w:val="22"/>
          <w:szCs w:val="22"/>
        </w:rPr>
      </w:pPr>
      <w:r>
        <w:rPr>
          <w:sz w:val="22"/>
          <w:szCs w:val="22"/>
        </w:rPr>
        <w:lastRenderedPageBreak/>
        <w:t xml:space="preserve">1) предмет јавне набавке; </w:t>
      </w:r>
    </w:p>
    <w:p w:rsidR="00351807" w:rsidRDefault="00351807" w:rsidP="00351807">
      <w:pPr>
        <w:pStyle w:val="Default"/>
        <w:rPr>
          <w:sz w:val="22"/>
          <w:szCs w:val="22"/>
        </w:rPr>
      </w:pPr>
      <w:r>
        <w:rPr>
          <w:sz w:val="22"/>
          <w:szCs w:val="22"/>
        </w:rPr>
        <w:t xml:space="preserve">2) процењену вредност јавне набавке укупно и посебно за сваку партију; </w:t>
      </w:r>
    </w:p>
    <w:p w:rsidR="00351807" w:rsidRDefault="00351807" w:rsidP="00351807">
      <w:pPr>
        <w:pStyle w:val="Default"/>
        <w:rPr>
          <w:sz w:val="22"/>
          <w:szCs w:val="22"/>
        </w:rPr>
      </w:pPr>
      <w:r>
        <w:rPr>
          <w:sz w:val="22"/>
          <w:szCs w:val="22"/>
        </w:rPr>
        <w:t xml:space="preserve">3) основне податке о понуђачима; </w:t>
      </w:r>
    </w:p>
    <w:p w:rsidR="00351807" w:rsidRDefault="00351807" w:rsidP="00351807">
      <w:pPr>
        <w:pStyle w:val="Default"/>
        <w:rPr>
          <w:sz w:val="22"/>
          <w:szCs w:val="22"/>
        </w:rPr>
      </w:pPr>
      <w:r>
        <w:rPr>
          <w:sz w:val="22"/>
          <w:szCs w:val="22"/>
        </w:rPr>
        <w:t xml:space="preserve">4) понуде које су одбијене, разлоге за њихово одбијање и понуђену цену тих понуда; </w:t>
      </w:r>
    </w:p>
    <w:p w:rsidR="00351807" w:rsidRDefault="00351807" w:rsidP="00351807">
      <w:pPr>
        <w:pStyle w:val="Default"/>
        <w:rPr>
          <w:sz w:val="22"/>
          <w:szCs w:val="22"/>
        </w:rPr>
      </w:pPr>
      <w:r>
        <w:rPr>
          <w:sz w:val="22"/>
          <w:szCs w:val="22"/>
        </w:rPr>
        <w:t xml:space="preserve">5) ако је понуда одбијена због неуобичајено ниске цене, детаљно образложење - начин на који је утврђена та цена; </w:t>
      </w:r>
    </w:p>
    <w:p w:rsidR="00351807" w:rsidRDefault="00351807" w:rsidP="00351807">
      <w:pPr>
        <w:pStyle w:val="Default"/>
        <w:rPr>
          <w:sz w:val="22"/>
          <w:szCs w:val="22"/>
        </w:rPr>
      </w:pPr>
      <w:r>
        <w:rPr>
          <w:sz w:val="22"/>
          <w:szCs w:val="22"/>
        </w:rPr>
        <w:t xml:space="preserve">6) начин примене методологије доделе пондера; </w:t>
      </w:r>
    </w:p>
    <w:p w:rsidR="00351807" w:rsidRDefault="00351807" w:rsidP="00351807">
      <w:pPr>
        <w:rPr>
          <w:rFonts w:ascii="Arial" w:hAnsi="Arial" w:cs="Arial"/>
        </w:rPr>
      </w:pPr>
      <w:r>
        <w:rPr>
          <w:rFonts w:ascii="Arial" w:hAnsi="Arial" w:cs="Arial"/>
        </w:rPr>
        <w:t>7) назив понуђача коме се додељује уговор, а ако је понуђач навео да ће набавку извршити уз помоћ подизвођача и назив подизвођача.”.</w:t>
      </w:r>
    </w:p>
    <w:p w:rsidR="00351807" w:rsidRDefault="00351807" w:rsidP="00351807">
      <w:pPr>
        <w:jc w:val="center"/>
        <w:rPr>
          <w:rFonts w:ascii="Arial" w:hAnsi="Arial" w:cs="Arial"/>
          <w:b/>
        </w:rPr>
      </w:pPr>
    </w:p>
    <w:p w:rsidR="00351807" w:rsidRDefault="00351807" w:rsidP="00351807">
      <w:pPr>
        <w:jc w:val="center"/>
        <w:rPr>
          <w:rFonts w:ascii="Arial" w:hAnsi="Arial" w:cs="Arial"/>
          <w:b/>
        </w:rPr>
      </w:pPr>
      <w:r>
        <w:rPr>
          <w:rFonts w:ascii="Arial" w:hAnsi="Arial" w:cs="Arial"/>
          <w:b/>
        </w:rPr>
        <w:t>Члан 5.</w:t>
      </w:r>
    </w:p>
    <w:p w:rsidR="00351807" w:rsidRDefault="00351807" w:rsidP="00351807">
      <w:pPr>
        <w:jc w:val="both"/>
        <w:rPr>
          <w:rFonts w:ascii="Arial" w:hAnsi="Arial" w:cs="Arial"/>
        </w:rPr>
      </w:pPr>
      <w:r>
        <w:rPr>
          <w:rFonts w:ascii="Arial" w:hAnsi="Arial" w:cs="Arial"/>
        </w:rPr>
        <w:t>У члану 46 став 1 мења се и гласи:</w:t>
      </w:r>
    </w:p>
    <w:p w:rsidR="00351807" w:rsidRDefault="00351807" w:rsidP="00351807">
      <w:pPr>
        <w:ind w:firstLine="720"/>
        <w:jc w:val="both"/>
        <w:rPr>
          <w:rFonts w:ascii="Arial" w:hAnsi="Arial" w:cs="Arial"/>
        </w:rPr>
      </w:pPr>
      <w:r>
        <w:rPr>
          <w:rFonts w:ascii="Arial" w:hAnsi="Arial" w:cs="Arial"/>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351807" w:rsidRDefault="00351807" w:rsidP="00351807">
      <w:pPr>
        <w:jc w:val="both"/>
        <w:rPr>
          <w:rFonts w:ascii="Arial" w:hAnsi="Arial" w:cs="Arial"/>
        </w:rPr>
      </w:pPr>
    </w:p>
    <w:p w:rsidR="00351807" w:rsidRDefault="00351807" w:rsidP="00351807">
      <w:pPr>
        <w:jc w:val="center"/>
        <w:rPr>
          <w:rFonts w:ascii="Arial" w:hAnsi="Arial" w:cs="Arial"/>
          <w:b/>
        </w:rPr>
      </w:pPr>
      <w:r>
        <w:rPr>
          <w:rFonts w:ascii="Arial" w:hAnsi="Arial" w:cs="Arial"/>
          <w:b/>
        </w:rPr>
        <w:t>Члан 6.</w:t>
      </w:r>
    </w:p>
    <w:p w:rsidR="00351807" w:rsidRDefault="00351807" w:rsidP="00351807">
      <w:pPr>
        <w:jc w:val="both"/>
        <w:rPr>
          <w:rFonts w:ascii="Arial" w:hAnsi="Arial" w:cs="Arial"/>
        </w:rPr>
      </w:pPr>
      <w:r>
        <w:rPr>
          <w:rFonts w:ascii="Arial" w:hAnsi="Arial" w:cs="Arial"/>
        </w:rPr>
        <w:t>У члану 53. Став 1 уместо износа „400.000,00“ динара,додаје се износ „500.00,00“ динара</w:t>
      </w:r>
    </w:p>
    <w:p w:rsidR="00351807" w:rsidRDefault="00351807" w:rsidP="00351807">
      <w:pPr>
        <w:jc w:val="both"/>
        <w:rPr>
          <w:rFonts w:ascii="Arial" w:hAnsi="Arial" w:cs="Arial"/>
        </w:rPr>
      </w:pPr>
      <w:r>
        <w:rPr>
          <w:rFonts w:ascii="Arial" w:hAnsi="Arial" w:cs="Arial"/>
        </w:rPr>
        <w:t>После става 1 додаје се став 2 који гласи :,</w:t>
      </w:r>
    </w:p>
    <w:p w:rsidR="00351807" w:rsidRDefault="00351807" w:rsidP="00351807">
      <w:pPr>
        <w:pStyle w:val="Default"/>
        <w:ind w:firstLine="720"/>
        <w:jc w:val="both"/>
        <w:rPr>
          <w:sz w:val="22"/>
          <w:szCs w:val="22"/>
        </w:rPr>
      </w:pPr>
      <w:r>
        <w:rPr>
          <w:sz w:val="22"/>
          <w:szCs w:val="22"/>
        </w:rPr>
        <w:t xml:space="preserve">Одредбе  закона не примењују се на уговоре које наручилац закључује са другим правним лицем ако су испуњени сви следећи услови: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1) наручилац врши надзор над тим правним лицем сличан надзору који врши над својим организационим јединицама у смислу става 2. овог члана;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2) правно лице над којим наручилац врши надзор, више од 80% својих активности у Републици Србији врши у циљу обављања послова које му је наручилац поверио или које су му поверила друга правна лица над којима тај наручилац врши надзор;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3) у надзираном правном лицу нема учешћа приватног капитала који има одлучујући утицај на доношење одлука, односно спречавање доношења одлука, у складу са важећим прописима.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Сматра се да наручилац врши надзор над правним лицем сличан надзору који врши над својим организационим јединицама у смислу става 1. тачка 1) овог члана, ако има пресудан утицај на стратешке циљеве и на важне одлуке тог правног лица. Такав надзор може вршити и друго правно лице над којим наручилац на исти начин врши надзор.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Став 1. овог члана примењује се и у случају када надзирано правно лице које је наручилац, закључује уговор са наручиоцем који врши надзор над њим или са другим правним лицем над којим исти наручилац врши надзор, под условом да у том правном лицу са којим се закључује уговор нема учешћа приватног капитала који има одлучујући утицај. </w:t>
      </w:r>
    </w:p>
    <w:p w:rsidR="00351807" w:rsidRDefault="00351807" w:rsidP="00351807">
      <w:pPr>
        <w:pStyle w:val="Default"/>
        <w:rPr>
          <w:sz w:val="22"/>
          <w:szCs w:val="22"/>
        </w:rPr>
      </w:pPr>
    </w:p>
    <w:p w:rsidR="00351807" w:rsidRDefault="00351807" w:rsidP="00351807">
      <w:pPr>
        <w:pStyle w:val="Default"/>
        <w:ind w:firstLine="720"/>
        <w:jc w:val="both"/>
        <w:rPr>
          <w:sz w:val="22"/>
          <w:szCs w:val="22"/>
        </w:rPr>
      </w:pPr>
      <w:r>
        <w:rPr>
          <w:sz w:val="22"/>
          <w:szCs w:val="22"/>
        </w:rPr>
        <w:lastRenderedPageBreak/>
        <w:t xml:space="preserve">Одредбе  закона не примењују се на уговоре које наручилац закључује са другим правним лицем над којим наручилац не врши надзор у складу са ставом 1. овог члана, ако су испуњени сви следећи услови: </w:t>
      </w:r>
    </w:p>
    <w:p w:rsidR="00351807" w:rsidRDefault="00351807" w:rsidP="00351807">
      <w:pPr>
        <w:pStyle w:val="Default"/>
        <w:ind w:firstLine="720"/>
        <w:jc w:val="both"/>
        <w:rPr>
          <w:sz w:val="22"/>
          <w:szCs w:val="22"/>
        </w:rPr>
      </w:pPr>
    </w:p>
    <w:p w:rsidR="00351807" w:rsidRDefault="00351807" w:rsidP="00351807">
      <w:pPr>
        <w:pStyle w:val="Default"/>
        <w:ind w:firstLine="720"/>
        <w:jc w:val="both"/>
        <w:rPr>
          <w:sz w:val="22"/>
          <w:szCs w:val="22"/>
        </w:rPr>
      </w:pPr>
      <w:r>
        <w:rPr>
          <w:sz w:val="22"/>
          <w:szCs w:val="22"/>
        </w:rPr>
        <w:t xml:space="preserve">1) наручилац заједно са другим наручиоцима врши надзор над тим правним лицем сличан оном који врше над својим организационим јединицама у смислу става 5. овог члана; </w:t>
      </w:r>
    </w:p>
    <w:p w:rsidR="00351807" w:rsidRDefault="00351807" w:rsidP="00351807">
      <w:pPr>
        <w:pStyle w:val="Default"/>
        <w:ind w:firstLine="720"/>
        <w:jc w:val="both"/>
        <w:rPr>
          <w:sz w:val="22"/>
          <w:szCs w:val="22"/>
        </w:rPr>
      </w:pPr>
      <w:r>
        <w:rPr>
          <w:sz w:val="22"/>
          <w:szCs w:val="22"/>
        </w:rPr>
        <w:t xml:space="preserve">2) правно лице над којим ти наручиоци врше надзор, више од 80% својих активности обавља у извршавању задатака које су му поверили ти наручиоци или које су му поверила друга правна лица над којима ти наручиоци врше надзор; </w:t>
      </w:r>
    </w:p>
    <w:p w:rsidR="00351807" w:rsidRDefault="00351807" w:rsidP="00351807">
      <w:pPr>
        <w:pStyle w:val="Default"/>
        <w:ind w:firstLine="720"/>
        <w:jc w:val="both"/>
        <w:rPr>
          <w:sz w:val="22"/>
          <w:szCs w:val="22"/>
        </w:rPr>
      </w:pPr>
      <w:r>
        <w:rPr>
          <w:sz w:val="22"/>
          <w:szCs w:val="22"/>
        </w:rPr>
        <w:t xml:space="preserve">3) у надзираном правном лицу нема учешћа приватног капитала који има одлучујући утицај на доношење одлука, односно спречавање доношења одлука, у складу са важећим прописима.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Сматра се да наручиоци заједнички врше надзор над правним лицем у смислу става 4. тачка 1) овог члана ако су испуњени сви следећи услови: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1) органи надзираног правног лица надлежни за одлучивање састављени су од представника свих наручилаца који врше надзор над тим правним лицем. Појединачни представници могу представљати неколико или све наручиоце;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2) ти наручиоци могу заједно да врше одлучујући утицај на стратешке циљеве и на важне одлуке тог правног лица;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3) надзирано правно лице нема интересе различите од интереса наручилаца који над њим врше надзор.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Одредбе овог закона не примењују се на уговоре које закључују два или више наручиоца ако су испуњени сви следећи услови: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1) уговор успоставља или утврђује сарадњу између наручилаца ради вршења јавних услуга које су дужни да извршавају, а са циљем остваривања њихових заједничких интереса; </w:t>
      </w:r>
    </w:p>
    <w:p w:rsidR="00351807" w:rsidRDefault="00351807" w:rsidP="00351807">
      <w:pPr>
        <w:pStyle w:val="Default"/>
        <w:jc w:val="both"/>
        <w:rPr>
          <w:sz w:val="22"/>
          <w:szCs w:val="22"/>
        </w:rPr>
      </w:pPr>
      <w:r>
        <w:rPr>
          <w:sz w:val="22"/>
          <w:szCs w:val="22"/>
        </w:rPr>
        <w:t>2) успостављање те сарадње врши се искључиво за потребе у општем интересу</w:t>
      </w:r>
    </w:p>
    <w:p w:rsidR="00351807" w:rsidRDefault="00351807" w:rsidP="00351807">
      <w:pPr>
        <w:pStyle w:val="Default"/>
        <w:rPr>
          <w:color w:val="auto"/>
          <w:sz w:val="22"/>
          <w:szCs w:val="22"/>
        </w:rPr>
      </w:pPr>
      <w:r>
        <w:rPr>
          <w:color w:val="auto"/>
          <w:sz w:val="22"/>
          <w:szCs w:val="22"/>
        </w:rPr>
        <w:t xml:space="preserve"> </w:t>
      </w:r>
    </w:p>
    <w:p w:rsidR="00351807" w:rsidRDefault="00351807" w:rsidP="00351807">
      <w:pPr>
        <w:pStyle w:val="Default"/>
        <w:rPr>
          <w:color w:val="auto"/>
          <w:sz w:val="22"/>
          <w:szCs w:val="22"/>
        </w:rPr>
      </w:pPr>
    </w:p>
    <w:p w:rsidR="00351807" w:rsidRDefault="00351807" w:rsidP="00351807">
      <w:pPr>
        <w:pStyle w:val="Default"/>
        <w:jc w:val="center"/>
        <w:rPr>
          <w:b/>
          <w:color w:val="auto"/>
          <w:sz w:val="22"/>
          <w:szCs w:val="22"/>
        </w:rPr>
      </w:pPr>
      <w:r>
        <w:rPr>
          <w:b/>
          <w:color w:val="auto"/>
          <w:sz w:val="22"/>
          <w:szCs w:val="22"/>
        </w:rPr>
        <w:t>Члан 6.</w:t>
      </w:r>
    </w:p>
    <w:p w:rsidR="00351807" w:rsidRDefault="00351807" w:rsidP="00351807">
      <w:pPr>
        <w:pStyle w:val="Default"/>
        <w:jc w:val="both"/>
        <w:rPr>
          <w:b/>
          <w:color w:val="auto"/>
          <w:sz w:val="22"/>
          <w:szCs w:val="22"/>
        </w:rPr>
      </w:pPr>
    </w:p>
    <w:p w:rsidR="00351807" w:rsidRDefault="00351807" w:rsidP="00351807">
      <w:pPr>
        <w:pStyle w:val="Default"/>
        <w:jc w:val="both"/>
        <w:rPr>
          <w:color w:val="auto"/>
          <w:sz w:val="22"/>
          <w:szCs w:val="22"/>
        </w:rPr>
      </w:pPr>
      <w:r>
        <w:rPr>
          <w:color w:val="auto"/>
          <w:sz w:val="22"/>
          <w:szCs w:val="22"/>
        </w:rPr>
        <w:t>Наслов изнад члана 54 мења се и гласи:</w:t>
      </w:r>
    </w:p>
    <w:p w:rsidR="00351807" w:rsidRDefault="00351807" w:rsidP="00351807">
      <w:pPr>
        <w:pStyle w:val="Default"/>
        <w:jc w:val="both"/>
        <w:rPr>
          <w:b/>
          <w:color w:val="auto"/>
          <w:sz w:val="22"/>
          <w:szCs w:val="22"/>
        </w:rPr>
      </w:pPr>
    </w:p>
    <w:p w:rsidR="00351807" w:rsidRDefault="00351807" w:rsidP="00351807">
      <w:pPr>
        <w:pStyle w:val="Default"/>
        <w:ind w:firstLine="720"/>
        <w:jc w:val="both"/>
        <w:rPr>
          <w:b/>
          <w:color w:val="auto"/>
          <w:sz w:val="22"/>
          <w:szCs w:val="22"/>
        </w:rPr>
      </w:pPr>
      <w:r>
        <w:rPr>
          <w:b/>
          <w:color w:val="auto"/>
          <w:sz w:val="22"/>
          <w:szCs w:val="22"/>
        </w:rPr>
        <w:t>„Спровођење набавки чија је процењена вредност нижа од 500.000 динара“</w:t>
      </w:r>
    </w:p>
    <w:p w:rsidR="00351807" w:rsidRDefault="00351807" w:rsidP="00351807">
      <w:pPr>
        <w:pStyle w:val="Default"/>
        <w:jc w:val="both"/>
        <w:rPr>
          <w:b/>
          <w:color w:val="auto"/>
          <w:sz w:val="22"/>
          <w:szCs w:val="22"/>
        </w:rPr>
      </w:pPr>
    </w:p>
    <w:p w:rsidR="00351807" w:rsidRDefault="00351807" w:rsidP="00351807">
      <w:pPr>
        <w:pStyle w:val="Default"/>
        <w:jc w:val="center"/>
        <w:rPr>
          <w:b/>
          <w:color w:val="auto"/>
          <w:sz w:val="22"/>
          <w:szCs w:val="22"/>
        </w:rPr>
      </w:pPr>
    </w:p>
    <w:p w:rsidR="00351807" w:rsidRDefault="00351807" w:rsidP="00351807">
      <w:pPr>
        <w:pStyle w:val="Default"/>
        <w:jc w:val="center"/>
        <w:rPr>
          <w:b/>
          <w:sz w:val="22"/>
          <w:szCs w:val="22"/>
        </w:rPr>
      </w:pPr>
      <w:r>
        <w:rPr>
          <w:b/>
          <w:color w:val="auto"/>
          <w:sz w:val="22"/>
          <w:szCs w:val="22"/>
        </w:rPr>
        <w:t>Члан 7.</w:t>
      </w:r>
    </w:p>
    <w:p w:rsidR="00351807" w:rsidRDefault="00351807" w:rsidP="00351807">
      <w:pPr>
        <w:pStyle w:val="Default"/>
        <w:rPr>
          <w:color w:val="auto"/>
        </w:rPr>
      </w:pPr>
    </w:p>
    <w:p w:rsidR="00351807" w:rsidRDefault="00351807" w:rsidP="00351807">
      <w:pPr>
        <w:pStyle w:val="Default"/>
        <w:rPr>
          <w:color w:val="auto"/>
        </w:rPr>
      </w:pPr>
      <w:r>
        <w:rPr>
          <w:color w:val="auto"/>
        </w:rPr>
        <w:t>Члан 74. Брише се.</w:t>
      </w:r>
    </w:p>
    <w:p w:rsidR="00351807" w:rsidRDefault="00351807" w:rsidP="00351807">
      <w:pPr>
        <w:pStyle w:val="Default"/>
        <w:rPr>
          <w:color w:val="auto"/>
        </w:rPr>
      </w:pPr>
    </w:p>
    <w:p w:rsidR="00351807" w:rsidRDefault="00351807" w:rsidP="00351807">
      <w:pPr>
        <w:pStyle w:val="Default"/>
        <w:jc w:val="center"/>
        <w:rPr>
          <w:b/>
          <w:color w:val="auto"/>
        </w:rPr>
      </w:pPr>
      <w:r>
        <w:rPr>
          <w:b/>
          <w:color w:val="auto"/>
        </w:rPr>
        <w:t>Члан 8.</w:t>
      </w:r>
    </w:p>
    <w:p w:rsidR="00351807" w:rsidRDefault="00351807" w:rsidP="00351807">
      <w:pPr>
        <w:pStyle w:val="Default"/>
        <w:jc w:val="center"/>
        <w:rPr>
          <w:b/>
          <w:color w:val="auto"/>
        </w:rPr>
      </w:pPr>
    </w:p>
    <w:p w:rsidR="00351807" w:rsidRDefault="00351807" w:rsidP="00351807">
      <w:pPr>
        <w:pStyle w:val="Default"/>
        <w:jc w:val="both"/>
        <w:rPr>
          <w:color w:val="auto"/>
        </w:rPr>
      </w:pPr>
      <w:r>
        <w:rPr>
          <w:color w:val="auto"/>
        </w:rPr>
        <w:t>Члан 76 мења се и гласи:</w:t>
      </w:r>
    </w:p>
    <w:p w:rsidR="00351807" w:rsidRDefault="00351807" w:rsidP="00351807">
      <w:pPr>
        <w:pStyle w:val="Default"/>
        <w:jc w:val="both"/>
        <w:rPr>
          <w:color w:val="auto"/>
        </w:rPr>
      </w:pPr>
    </w:p>
    <w:p w:rsidR="00351807" w:rsidRDefault="00351807" w:rsidP="00351807">
      <w:pPr>
        <w:pStyle w:val="Default"/>
        <w:ind w:firstLine="720"/>
        <w:jc w:val="both"/>
        <w:rPr>
          <w:sz w:val="22"/>
          <w:szCs w:val="22"/>
        </w:rPr>
      </w:pPr>
      <w:r>
        <w:rPr>
          <w:sz w:val="22"/>
          <w:szCs w:val="22"/>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w:t>
      </w:r>
      <w:r>
        <w:rPr>
          <w:sz w:val="22"/>
          <w:szCs w:val="22"/>
        </w:rPr>
        <w:lastRenderedPageBreak/>
        <w:t xml:space="preserve">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Лимити из става 1. овог члана не односе се на вишкове радова уколико су исти уговорени. </w:t>
      </w:r>
    </w:p>
    <w:p w:rsidR="00351807" w:rsidRDefault="00351807" w:rsidP="00351807">
      <w:pPr>
        <w:pStyle w:val="Default"/>
        <w:jc w:val="both"/>
        <w:rPr>
          <w:sz w:val="22"/>
          <w:szCs w:val="22"/>
        </w:rPr>
      </w:pPr>
    </w:p>
    <w:p w:rsidR="00351807" w:rsidRDefault="00351807" w:rsidP="00351807">
      <w:pPr>
        <w:pStyle w:val="Default"/>
        <w:jc w:val="both"/>
        <w:rPr>
          <w:sz w:val="22"/>
          <w:szCs w:val="22"/>
        </w:rPr>
      </w:pPr>
      <w:r>
        <w:rPr>
          <w:sz w:val="22"/>
          <w:szCs w:val="22"/>
        </w:rPr>
        <w:t xml:space="preserve">Изменом уговора о јавној набавци из ст. 1. и 2. овог члана не може се мењати предмет набавке. </w:t>
      </w:r>
    </w:p>
    <w:p w:rsidR="00351807" w:rsidRDefault="00351807" w:rsidP="00351807">
      <w:pPr>
        <w:pStyle w:val="Default"/>
        <w:jc w:val="both"/>
        <w:rPr>
          <w:sz w:val="22"/>
          <w:szCs w:val="22"/>
        </w:rPr>
      </w:pPr>
    </w:p>
    <w:p w:rsidR="00351807" w:rsidRDefault="00351807" w:rsidP="00351807">
      <w:pPr>
        <w:pStyle w:val="Default"/>
        <w:jc w:val="both"/>
        <w:rPr>
          <w:color w:val="auto"/>
        </w:rPr>
      </w:pPr>
      <w:r>
        <w:rPr>
          <w:sz w:val="22"/>
          <w:szCs w:val="22"/>
        </w:rPr>
        <w:t>У случају из ст.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p>
    <w:p w:rsidR="00351807" w:rsidRDefault="00351807" w:rsidP="00351807">
      <w:pPr>
        <w:pStyle w:val="Default"/>
        <w:jc w:val="both"/>
        <w:rPr>
          <w:b/>
          <w:color w:val="auto"/>
        </w:rPr>
      </w:pPr>
    </w:p>
    <w:p w:rsidR="00351807" w:rsidRDefault="00351807" w:rsidP="00351807">
      <w:pPr>
        <w:pStyle w:val="Default"/>
        <w:jc w:val="both"/>
        <w:rPr>
          <w:b/>
          <w:color w:val="auto"/>
        </w:rPr>
      </w:pPr>
    </w:p>
    <w:p w:rsidR="00351807" w:rsidRDefault="00351807" w:rsidP="00351807">
      <w:pPr>
        <w:pStyle w:val="Default"/>
        <w:jc w:val="center"/>
        <w:rPr>
          <w:b/>
          <w:color w:val="auto"/>
        </w:rPr>
      </w:pPr>
      <w:r>
        <w:rPr>
          <w:b/>
          <w:color w:val="auto"/>
        </w:rPr>
        <w:t>ЗАВРШНЕ ОДРЕДБЕ</w:t>
      </w:r>
    </w:p>
    <w:p w:rsidR="00351807" w:rsidRDefault="00351807" w:rsidP="00351807">
      <w:pPr>
        <w:pStyle w:val="Default"/>
        <w:jc w:val="center"/>
        <w:rPr>
          <w:b/>
          <w:color w:val="auto"/>
        </w:rPr>
      </w:pPr>
    </w:p>
    <w:p w:rsidR="00351807" w:rsidRDefault="00351807" w:rsidP="00351807">
      <w:pPr>
        <w:pStyle w:val="Default"/>
        <w:jc w:val="center"/>
        <w:rPr>
          <w:b/>
          <w:color w:val="auto"/>
        </w:rPr>
      </w:pPr>
      <w:r>
        <w:rPr>
          <w:b/>
          <w:color w:val="auto"/>
        </w:rPr>
        <w:t>Члан 9.</w:t>
      </w:r>
    </w:p>
    <w:p w:rsidR="00351807" w:rsidRDefault="00351807" w:rsidP="00351807">
      <w:pPr>
        <w:pStyle w:val="Default"/>
        <w:jc w:val="center"/>
        <w:rPr>
          <w:b/>
          <w:color w:val="auto"/>
        </w:rPr>
      </w:pPr>
    </w:p>
    <w:p w:rsidR="00351807" w:rsidRDefault="00351807" w:rsidP="00351807">
      <w:pPr>
        <w:pStyle w:val="Default"/>
        <w:ind w:firstLine="720"/>
        <w:jc w:val="both"/>
        <w:rPr>
          <w:color w:val="auto"/>
        </w:rPr>
      </w:pPr>
      <w:r>
        <w:rPr>
          <w:color w:val="auto"/>
        </w:rPr>
        <w:t>Измене и допуне Правилника о ближем уређивању поступка јавне набавке ступају на снагу осмог дана од дана објављивања на огласној табли.</w:t>
      </w:r>
    </w:p>
    <w:p w:rsidR="00351807" w:rsidRDefault="00351807" w:rsidP="00351807">
      <w:pPr>
        <w:pStyle w:val="Default"/>
        <w:jc w:val="both"/>
        <w:rPr>
          <w:color w:val="auto"/>
        </w:rPr>
      </w:pPr>
    </w:p>
    <w:p w:rsidR="00351807" w:rsidRDefault="00351807" w:rsidP="00351807">
      <w:pPr>
        <w:pStyle w:val="Default"/>
        <w:jc w:val="both"/>
        <w:rPr>
          <w:b/>
          <w:color w:val="auto"/>
        </w:rPr>
      </w:pPr>
    </w:p>
    <w:p w:rsidR="00351807" w:rsidRDefault="00351807" w:rsidP="00351807">
      <w:pPr>
        <w:pStyle w:val="Default"/>
        <w:jc w:val="both"/>
        <w:rPr>
          <w:b/>
          <w:color w:val="auto"/>
        </w:rPr>
      </w:pPr>
    </w:p>
    <w:p w:rsidR="00351807" w:rsidRPr="006F0CA2" w:rsidRDefault="00351807" w:rsidP="00351807">
      <w:pPr>
        <w:pStyle w:val="Default"/>
        <w:jc w:val="right"/>
        <w:rPr>
          <w:b/>
          <w:i/>
          <w:color w:val="auto"/>
        </w:rPr>
      </w:pPr>
      <w:r w:rsidRPr="006F0CA2">
        <w:rPr>
          <w:b/>
          <w:i/>
          <w:color w:val="auto"/>
        </w:rPr>
        <w:t>ПРЕДСЕДНИК ШКОЛСКОГ ОДБОРА</w:t>
      </w:r>
    </w:p>
    <w:p w:rsidR="00351807" w:rsidRPr="006F0CA2" w:rsidRDefault="00351807" w:rsidP="00351807">
      <w:pPr>
        <w:pStyle w:val="Default"/>
        <w:jc w:val="right"/>
        <w:rPr>
          <w:b/>
          <w:i/>
          <w:color w:val="auto"/>
        </w:rPr>
      </w:pPr>
      <w:r w:rsidRPr="006F0CA2">
        <w:rPr>
          <w:b/>
          <w:i/>
          <w:color w:val="auto"/>
        </w:rPr>
        <w:t>_______________________________</w:t>
      </w:r>
    </w:p>
    <w:p w:rsidR="00351807" w:rsidRPr="006F0CA2" w:rsidRDefault="00351807" w:rsidP="00351807">
      <w:pPr>
        <w:pStyle w:val="Default"/>
        <w:jc w:val="center"/>
        <w:rPr>
          <w:b/>
          <w:i/>
          <w:color w:val="auto"/>
        </w:rPr>
      </w:pPr>
      <w:r w:rsidRPr="006F0CA2">
        <w:rPr>
          <w:b/>
          <w:i/>
          <w:color w:val="auto"/>
        </w:rPr>
        <w:t xml:space="preserve">                                                                                     Бранкица Макуљевић </w:t>
      </w:r>
    </w:p>
    <w:p w:rsidR="00351807" w:rsidRDefault="00351807" w:rsidP="00351807">
      <w:pPr>
        <w:pStyle w:val="Default"/>
        <w:jc w:val="both"/>
        <w:rPr>
          <w:b/>
          <w:color w:val="auto"/>
        </w:rPr>
      </w:pPr>
    </w:p>
    <w:p w:rsidR="00351807" w:rsidRDefault="00351807" w:rsidP="00351807">
      <w:pPr>
        <w:pStyle w:val="Default"/>
        <w:jc w:val="center"/>
        <w:rPr>
          <w:b/>
          <w:color w:val="auto"/>
        </w:rPr>
      </w:pPr>
    </w:p>
    <w:p w:rsidR="006F0CA2" w:rsidRDefault="006F0CA2" w:rsidP="006F0CA2">
      <w:pPr>
        <w:ind w:firstLine="720"/>
        <w:jc w:val="both"/>
        <w:rPr>
          <w:rFonts w:ascii="Arial" w:hAnsi="Arial" w:cs="Arial"/>
        </w:rPr>
      </w:pPr>
      <w:r>
        <w:rPr>
          <w:rFonts w:ascii="Arial" w:hAnsi="Arial" w:cs="Arial"/>
        </w:rPr>
        <w:t>Измене и допуне Правилника о ближем уређивању поступка јавне набавке у Основној школи „Вук Караџић“ Мајиловац је заведе</w:t>
      </w:r>
      <w:r w:rsidR="002C1E82">
        <w:rPr>
          <w:rFonts w:ascii="Arial" w:hAnsi="Arial" w:cs="Arial"/>
        </w:rPr>
        <w:t xml:space="preserve">н под деловодним бројем </w:t>
      </w:r>
      <w:r w:rsidR="002C1E82">
        <w:rPr>
          <w:rFonts w:ascii="Arial" w:hAnsi="Arial" w:cs="Arial"/>
          <w:lang/>
        </w:rPr>
        <w:t>532/15-2</w:t>
      </w:r>
      <w:r w:rsidR="002C1E82">
        <w:rPr>
          <w:rFonts w:ascii="Arial" w:hAnsi="Arial" w:cs="Arial"/>
        </w:rPr>
        <w:t>,од</w:t>
      </w:r>
      <w:r w:rsidR="002C1E82">
        <w:rPr>
          <w:rFonts w:ascii="Arial" w:hAnsi="Arial" w:cs="Arial"/>
          <w:lang/>
        </w:rPr>
        <w:t xml:space="preserve"> 02.12.</w:t>
      </w:r>
      <w:r>
        <w:rPr>
          <w:rFonts w:ascii="Arial" w:hAnsi="Arial" w:cs="Arial"/>
        </w:rPr>
        <w:t>2015.године,објављене је на огласној</w:t>
      </w:r>
      <w:r w:rsidR="002C1E82">
        <w:rPr>
          <w:rFonts w:ascii="Arial" w:hAnsi="Arial" w:cs="Arial"/>
        </w:rPr>
        <w:t xml:space="preserve"> табли школе дана </w:t>
      </w:r>
      <w:r w:rsidR="002C1E82">
        <w:rPr>
          <w:rFonts w:ascii="Arial" w:hAnsi="Arial" w:cs="Arial"/>
          <w:lang/>
        </w:rPr>
        <w:t>02.12.</w:t>
      </w:r>
      <w:r>
        <w:rPr>
          <w:rFonts w:ascii="Arial" w:hAnsi="Arial" w:cs="Arial"/>
        </w:rPr>
        <w:t>2015.године, а ступи</w:t>
      </w:r>
      <w:r w:rsidR="002C1E82">
        <w:rPr>
          <w:rFonts w:ascii="Arial" w:hAnsi="Arial" w:cs="Arial"/>
        </w:rPr>
        <w:t xml:space="preserve">ле на снагу дана </w:t>
      </w:r>
      <w:r w:rsidR="002C1E82">
        <w:rPr>
          <w:rFonts w:ascii="Arial" w:hAnsi="Arial" w:cs="Arial"/>
          <w:lang/>
        </w:rPr>
        <w:t>10.12.</w:t>
      </w:r>
      <w:r>
        <w:rPr>
          <w:rFonts w:ascii="Arial" w:hAnsi="Arial" w:cs="Arial"/>
        </w:rPr>
        <w:t>2015.године.</w:t>
      </w:r>
    </w:p>
    <w:p w:rsidR="006F0CA2" w:rsidRDefault="006F0CA2" w:rsidP="006F0CA2">
      <w:pPr>
        <w:rPr>
          <w:rFonts w:ascii="Arial" w:hAnsi="Arial" w:cs="Arial"/>
        </w:rPr>
      </w:pPr>
    </w:p>
    <w:p w:rsidR="006F0CA2" w:rsidRDefault="006F0CA2" w:rsidP="006F0CA2">
      <w:pPr>
        <w:jc w:val="center"/>
        <w:rPr>
          <w:rFonts w:ascii="Arial" w:hAnsi="Arial" w:cs="Arial"/>
          <w:b/>
          <w:i/>
        </w:rPr>
      </w:pPr>
      <w:r>
        <w:rPr>
          <w:rFonts w:ascii="Arial" w:hAnsi="Arial" w:cs="Arial"/>
          <w:b/>
          <w:i/>
        </w:rPr>
        <w:t xml:space="preserve">                                                                                                                  Секретар школе,</w:t>
      </w:r>
    </w:p>
    <w:p w:rsidR="006F0CA2" w:rsidRDefault="006F0CA2" w:rsidP="006F0CA2">
      <w:pPr>
        <w:jc w:val="right"/>
        <w:rPr>
          <w:rFonts w:ascii="Arial" w:hAnsi="Arial" w:cs="Arial"/>
          <w:b/>
          <w:i/>
        </w:rPr>
      </w:pPr>
      <w:r>
        <w:rPr>
          <w:rFonts w:ascii="Arial" w:hAnsi="Arial" w:cs="Arial"/>
          <w:b/>
          <w:i/>
        </w:rPr>
        <w:t>________________________</w:t>
      </w:r>
    </w:p>
    <w:p w:rsidR="006F0CA2" w:rsidRDefault="006F0CA2" w:rsidP="006F0CA2">
      <w:pPr>
        <w:jc w:val="right"/>
        <w:rPr>
          <w:rFonts w:ascii="Arial" w:hAnsi="Arial" w:cs="Arial"/>
          <w:b/>
          <w:i/>
        </w:rPr>
      </w:pPr>
      <w:r>
        <w:rPr>
          <w:rFonts w:ascii="Arial" w:hAnsi="Arial" w:cs="Arial"/>
          <w:b/>
          <w:i/>
        </w:rPr>
        <w:t>Татјана Чинч - Стојићевић</w:t>
      </w:r>
    </w:p>
    <w:p w:rsidR="0048257F" w:rsidRPr="000F73EE" w:rsidRDefault="0048257F" w:rsidP="000F73EE"/>
    <w:sectPr w:rsidR="0048257F" w:rsidRPr="000F73EE" w:rsidSect="000F73EE">
      <w:headerReference w:type="default" r:id="rId7"/>
      <w:footerReference w:type="default" r:id="rId8"/>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22A" w:rsidRDefault="00D6022A" w:rsidP="003045D0">
      <w:pPr>
        <w:spacing w:after="0" w:line="240" w:lineRule="auto"/>
      </w:pPr>
      <w:r>
        <w:separator/>
      </w:r>
    </w:p>
  </w:endnote>
  <w:endnote w:type="continuationSeparator" w:id="1">
    <w:p w:rsidR="00D6022A" w:rsidRDefault="00D6022A" w:rsidP="0030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2248"/>
      <w:docPartObj>
        <w:docPartGallery w:val="Page Numbers (Bottom of Page)"/>
        <w:docPartUnique/>
      </w:docPartObj>
    </w:sdtPr>
    <w:sdtContent>
      <w:p w:rsidR="003045D0" w:rsidRDefault="00AC40EF">
        <w:pPr>
          <w:pStyle w:val="Footer"/>
          <w:jc w:val="center"/>
        </w:pPr>
        <w:fldSimple w:instr=" PAGE   \* MERGEFORMAT ">
          <w:r w:rsidR="002C1E82">
            <w:rPr>
              <w:noProof/>
            </w:rPr>
            <w:t>4</w:t>
          </w:r>
        </w:fldSimple>
      </w:p>
    </w:sdtContent>
  </w:sdt>
  <w:p w:rsidR="003045D0" w:rsidRDefault="00304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22A" w:rsidRDefault="00D6022A" w:rsidP="003045D0">
      <w:pPr>
        <w:spacing w:after="0" w:line="240" w:lineRule="auto"/>
      </w:pPr>
      <w:r>
        <w:separator/>
      </w:r>
    </w:p>
  </w:footnote>
  <w:footnote w:type="continuationSeparator" w:id="1">
    <w:p w:rsidR="00D6022A" w:rsidRDefault="00D6022A" w:rsidP="00304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D0" w:rsidRPr="003045D0" w:rsidRDefault="003045D0" w:rsidP="003045D0">
    <w:pPr>
      <w:pStyle w:val="Header"/>
      <w:pBdr>
        <w:bottom w:val="single" w:sz="24" w:space="1" w:color="auto"/>
      </w:pBdr>
      <w:tabs>
        <w:tab w:val="clear" w:pos="4703"/>
        <w:tab w:val="clear" w:pos="9406"/>
      </w:tabs>
      <w:jc w:val="center"/>
      <w:rPr>
        <w:b/>
        <w:sz w:val="28"/>
        <w:szCs w:val="28"/>
      </w:rPr>
    </w:pPr>
    <w:r w:rsidRPr="003045D0">
      <w:rPr>
        <w:b/>
        <w:sz w:val="28"/>
        <w:szCs w:val="28"/>
      </w:rPr>
      <w:t>Oсновна школа „Вук Караџић“ Мајиловац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2165E"/>
    <w:multiLevelType w:val="hybridMultilevel"/>
    <w:tmpl w:val="2C90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D41D46"/>
    <w:multiLevelType w:val="hybridMultilevel"/>
    <w:tmpl w:val="2D3CE294"/>
    <w:lvl w:ilvl="0" w:tplc="F75AFBB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5445B3"/>
    <w:rsid w:val="00000EBF"/>
    <w:rsid w:val="000F1F88"/>
    <w:rsid w:val="000F73EE"/>
    <w:rsid w:val="002C1E82"/>
    <w:rsid w:val="002D6A25"/>
    <w:rsid w:val="003045D0"/>
    <w:rsid w:val="00335833"/>
    <w:rsid w:val="00351807"/>
    <w:rsid w:val="0048257F"/>
    <w:rsid w:val="004C05B1"/>
    <w:rsid w:val="00500BFA"/>
    <w:rsid w:val="00520B79"/>
    <w:rsid w:val="005445B3"/>
    <w:rsid w:val="006F0CA2"/>
    <w:rsid w:val="0086591E"/>
    <w:rsid w:val="008C18EB"/>
    <w:rsid w:val="008F2C47"/>
    <w:rsid w:val="009523FC"/>
    <w:rsid w:val="009613C0"/>
    <w:rsid w:val="00AB629A"/>
    <w:rsid w:val="00AC40EF"/>
    <w:rsid w:val="00B120A2"/>
    <w:rsid w:val="00C57E6D"/>
    <w:rsid w:val="00C7459E"/>
    <w:rsid w:val="00D6022A"/>
    <w:rsid w:val="00EB189B"/>
    <w:rsid w:val="00F57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335833"/>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335833"/>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335833"/>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335833"/>
    <w:pPr>
      <w:spacing w:before="100" w:beforeAutospacing="1" w:after="100" w:afterAutospacing="1" w:line="240" w:lineRule="auto"/>
      <w:jc w:val="center"/>
    </w:pPr>
    <w:rPr>
      <w:rFonts w:ascii="Arial" w:eastAsia="Times New Roman" w:hAnsi="Arial" w:cs="Arial"/>
      <w:b/>
      <w:bCs/>
    </w:rPr>
  </w:style>
  <w:style w:type="paragraph" w:customStyle="1" w:styleId="normalcentaritalic">
    <w:name w:val="normalcentaritalic"/>
    <w:basedOn w:val="Normal"/>
    <w:rsid w:val="00335833"/>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335833"/>
    <w:pPr>
      <w:spacing w:before="100" w:beforeAutospacing="1" w:after="100" w:afterAutospacing="1" w:line="240" w:lineRule="auto"/>
    </w:pPr>
    <w:rPr>
      <w:rFonts w:ascii="Arial" w:eastAsia="Times New Roman" w:hAnsi="Arial" w:cs="Arial"/>
      <w:i/>
      <w:iCs/>
    </w:rPr>
  </w:style>
  <w:style w:type="paragraph" w:customStyle="1" w:styleId="normalprored">
    <w:name w:val="normalprored"/>
    <w:basedOn w:val="Normal"/>
    <w:rsid w:val="00335833"/>
    <w:pPr>
      <w:spacing w:after="0" w:line="240" w:lineRule="auto"/>
    </w:pPr>
    <w:rPr>
      <w:rFonts w:ascii="Arial" w:eastAsia="Times New Roman" w:hAnsi="Arial" w:cs="Arial"/>
      <w:sz w:val="26"/>
      <w:szCs w:val="26"/>
    </w:rPr>
  </w:style>
  <w:style w:type="paragraph" w:customStyle="1" w:styleId="wyq060---pododeljak">
    <w:name w:val="wyq060---pododeljak"/>
    <w:basedOn w:val="Normal"/>
    <w:rsid w:val="00335833"/>
    <w:pPr>
      <w:spacing w:after="0" w:line="240" w:lineRule="auto"/>
      <w:jc w:val="center"/>
    </w:pPr>
    <w:rPr>
      <w:rFonts w:ascii="Arial" w:eastAsia="Times New Roman" w:hAnsi="Arial" w:cs="Arial"/>
      <w:sz w:val="31"/>
      <w:szCs w:val="31"/>
    </w:rPr>
  </w:style>
  <w:style w:type="paragraph" w:styleId="ListParagraph">
    <w:name w:val="List Paragraph"/>
    <w:basedOn w:val="Normal"/>
    <w:uiPriority w:val="34"/>
    <w:qFormat/>
    <w:rsid w:val="00C7459E"/>
    <w:pPr>
      <w:ind w:left="720"/>
      <w:contextualSpacing/>
    </w:pPr>
  </w:style>
  <w:style w:type="paragraph" w:styleId="Header">
    <w:name w:val="header"/>
    <w:basedOn w:val="Normal"/>
    <w:link w:val="HeaderChar"/>
    <w:uiPriority w:val="99"/>
    <w:semiHidden/>
    <w:unhideWhenUsed/>
    <w:rsid w:val="003045D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045D0"/>
  </w:style>
  <w:style w:type="paragraph" w:styleId="Footer">
    <w:name w:val="footer"/>
    <w:basedOn w:val="Normal"/>
    <w:link w:val="FooterChar"/>
    <w:uiPriority w:val="99"/>
    <w:unhideWhenUsed/>
    <w:rsid w:val="003045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3045D0"/>
  </w:style>
  <w:style w:type="paragraph" w:customStyle="1" w:styleId="Default">
    <w:name w:val="Default"/>
    <w:rsid w:val="003518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7431562">
      <w:bodyDiv w:val="1"/>
      <w:marLeft w:val="0"/>
      <w:marRight w:val="0"/>
      <w:marTop w:val="0"/>
      <w:marBottom w:val="0"/>
      <w:divBdr>
        <w:top w:val="none" w:sz="0" w:space="0" w:color="auto"/>
        <w:left w:val="none" w:sz="0" w:space="0" w:color="auto"/>
        <w:bottom w:val="none" w:sz="0" w:space="0" w:color="auto"/>
        <w:right w:val="none" w:sz="0" w:space="0" w:color="auto"/>
      </w:divBdr>
    </w:div>
    <w:div w:id="459764513">
      <w:bodyDiv w:val="1"/>
      <w:marLeft w:val="0"/>
      <w:marRight w:val="0"/>
      <w:marTop w:val="0"/>
      <w:marBottom w:val="0"/>
      <w:divBdr>
        <w:top w:val="none" w:sz="0" w:space="0" w:color="auto"/>
        <w:left w:val="none" w:sz="0" w:space="0" w:color="auto"/>
        <w:bottom w:val="none" w:sz="0" w:space="0" w:color="auto"/>
        <w:right w:val="none" w:sz="0" w:space="0" w:color="auto"/>
      </w:divBdr>
    </w:div>
    <w:div w:id="7251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Desktop\mustra%20blank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mustra blanko</Template>
  <TotalTime>6</TotalTime>
  <Pages>1</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6</cp:revision>
  <cp:lastPrinted>2015-12-02T06:23:00Z</cp:lastPrinted>
  <dcterms:created xsi:type="dcterms:W3CDTF">2015-12-02T06:18:00Z</dcterms:created>
  <dcterms:modified xsi:type="dcterms:W3CDTF">2015-12-04T12:10:00Z</dcterms:modified>
</cp:coreProperties>
</file>